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200" w:after="240"/>
        <w:jc w:val="center"/>
      </w:pPr>
      <w:r>
        <w:rPr>
          <w:rFonts w:ascii="Calibri" w:hAnsi="Calibri"/>
          <w:b/>
          <w:color w:val="C5A55A"/>
          <w:sz w:val="56"/>
        </w:rPr>
        <w:t>PEDRO SOLA · AGENTIC AI PLATFORM REPORT</w:t>
      </w:r>
    </w:p>
    <w:p>
      <w:pPr>
        <w:spacing w:after="160"/>
        <w:jc w:val="center"/>
      </w:pPr>
      <w:r>
        <w:rPr>
          <w:rFonts w:ascii="Calibri" w:hAnsi="Calibri"/>
          <w:color w:val="0A1628"/>
          <w:sz w:val="32"/>
        </w:rPr>
        <w:t>März 2026  ·  System Documentation</w:t>
      </w:r>
    </w:p>
    <w:p>
      <w:pPr>
        <w:spacing w:after="800"/>
        <w:jc w:val="center"/>
      </w:pPr>
      <w:r>
        <w:rPr>
          <w:rFonts w:ascii="Calibri" w:hAnsi="Calibri"/>
          <w:color w:val="808080"/>
          <w:sz w:val="24"/>
        </w:rPr>
        <w:t>Powered by BAISE LuxTech v4  ·  KVM4 VPS  ·  72.61.176.72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424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X-architecture-4k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42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Calibri" w:hAnsi="Calibri"/>
          <w:i/>
          <w:color w:val="808080"/>
          <w:sz w:val="18"/>
        </w:rPr>
        <w:t>Abb. 1: Pedro Sola Agentic AI Platform — Gesamtarchitektur</w:t>
      </w:r>
    </w:p>
    <w:p>
      <w:r>
        <w:br w:type="page"/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1. Executive Summary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Die Pedro Sola Agentic AI Platform ist eine vollständig selbst gehostete, professionelle KI-Infrastruktur, die in nur 2 Tagen (25.–26. März 2026) auf einem Hostinger KVM4 VPS aufgebaut wurde. Die Plattform kombiniert Enterprise-grade AI-Memory, Business-Applikationen und ein intelligentes Multi-Agent-System zu einer integrierten Lösung für Finance Transformation und strategische Beratung.</w:t>
      </w:r>
    </w:p>
    <w:p/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c>
          <w:tcPr>
            <w:tcW w:type="dxa" w:w="255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Metrik</w:t>
            </w:r>
          </w:p>
        </w:tc>
        <w:tc>
          <w:tcPr>
            <w:tcW w:type="dxa" w:w="170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Wert</w:t>
            </w:r>
          </w:p>
        </w:tc>
        <w:tc>
          <w:tcPr>
            <w:tcW w:type="dxa" w:w="5102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Beschreibung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Docker Container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36</w:t>
            </w:r>
          </w:p>
        </w:tc>
        <w:tc>
          <w:tcPr>
            <w:tcW w:type="dxa" w:w="510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Vollständig deployed &amp; aktiv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Knowledge Graph Nodes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858</w:t>
            </w:r>
          </w:p>
        </w:tc>
        <w:tc>
          <w:tcPr>
            <w:tcW w:type="dxa" w:w="510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Cognee Neo4j Knowledge Base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Graph Edges (Relationen)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2.546</w:t>
            </w:r>
          </w:p>
        </w:tc>
        <w:tc>
          <w:tcPr>
            <w:tcW w:type="dxa" w:w="510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Semantische Verbindungen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Installierte Skills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122</w:t>
            </w:r>
          </w:p>
        </w:tc>
        <w:tc>
          <w:tcPr>
            <w:tcW w:type="dxa" w:w="510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Chris Agent Director Skills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Datasets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</w:t>
            </w:r>
          </w:p>
        </w:tc>
        <w:tc>
          <w:tcPr>
            <w:tcW w:type="dxa" w:w="510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consulting, infra, design, identity, finance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Geplante Subdomains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12</w:t>
            </w:r>
          </w:p>
        </w:tc>
        <w:tc>
          <w:tcPr>
            <w:tcW w:type="dxa" w:w="510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Nginx Reverse Proxy konfiguriert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Integrierte APIs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7</w:t>
            </w:r>
          </w:p>
        </w:tc>
        <w:tc>
          <w:tcPr>
            <w:tcW w:type="dxa" w:w="510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Anthropic, Gmail, ERPNext, n8n, u.a.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Build-Zeit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 Tage</w:t>
            </w:r>
          </w:p>
        </w:tc>
        <w:tc>
          <w:tcPr>
            <w:tcW w:type="dxa" w:w="510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25.–26. März 2026</w:t>
            </w:r>
          </w:p>
        </w:tc>
      </w:tr>
    </w:tbl>
    <w:p/>
    <w:p>
      <w:pPr>
        <w:spacing w:after="80"/>
      </w:pPr>
      <w:r>
        <w:rPr>
          <w:rFonts w:ascii="Calibri" w:hAnsi="Calibri"/>
          <w:color w:val="1A1A2E"/>
          <w:sz w:val="22"/>
        </w:rPr>
        <w:t>Die Plattform ist optimiert für Pedro Solas Tätigkeitsfelder: Finance Transformation, KI-Strategie und Management-Consulting. Chris (Claude Opus 4.6) agiert als Director-Agent mit 122 installierten Skills, unterstützt von spezialisierten Subagents für Research, Code und Administration.</w:t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2. Infrastruktur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2.1 Server-Spezifikationen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283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Komponente</w:t>
            </w:r>
          </w:p>
        </w:tc>
        <w:tc>
          <w:tcPr>
            <w:tcW w:type="dxa" w:w="6520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Details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Provider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Hostinger KVM4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IP-Adresse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72.61.176.72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Betriebssystem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Ubuntu 24.04 LTS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Docker Version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29.3.0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Reverse Proxy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Nginx (12 Subdomains)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Firewall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iptables raw PREROUTING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2.2 Docker Services (36 Container)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Service</w:t>
            </w:r>
          </w:p>
        </w:tc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Port</w:t>
            </w:r>
          </w:p>
        </w:tc>
        <w:tc>
          <w:tcPr>
            <w:tcW w:type="dxa" w:w="4252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Beschreibung</w:t>
            </w:r>
          </w:p>
        </w:tc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Status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API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8200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AI Memory / Knowledge Graph API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Neo4j + APOC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7474/7687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Graph Database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PostgreSQL pgvector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5433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Vector + Relational DB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Redis Cache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6380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Query Cache (627x Speedup)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 v15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8090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 / Buchhaltung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n8n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5678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Workflow Automation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Nextcloud 28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8082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File Storage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8000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PostgreSQL + REST API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Paperclip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3100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Agent Management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Vaultwarden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8484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Password Manager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Nginx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80/443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Reverse Proxy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Firecrawl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3002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Web Scraping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Shadowbroker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8100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Data Broker Service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Qdrant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6333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Vector Search Engine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Uptime Kuma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3001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Service Monitoring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OpenClaw Gateway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44587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Agent Platform Gateway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LanceDB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embedded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Vector Store (embedded)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MariaDB (ERPNext)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3306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ERPNext Datenbank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Redis (ERPNext)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6379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 Cache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Nginx (ERPNext)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8091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ERPNext Proxy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Supabase Studio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8001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DB Admin UI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 Kong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8002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API Gateway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Supabase Auth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9999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Auth Service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 REST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3000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PostgREST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Supabase Realtime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4000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WebSocket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 Storage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5000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File Storage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Supabase Meta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8080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DB Meta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 Edge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8081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Edge Functions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n8n Worker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5679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n8n Task Worker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Paperclip DB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5432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Paperclip PostgreSQL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DB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5434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PostgreSQL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Neo4j Router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7475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Bolt Router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Cadvisor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8888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Container Metrics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Portainer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9000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Docker Management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Watchtower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8083</w:t>
            </w:r>
          </w:p>
        </w:tc>
        <w:tc>
          <w:tcPr>
            <w:tcW w:type="dxa" w:w="425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Auto-Update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NordVPN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internal</w:t>
            </w:r>
          </w:p>
        </w:tc>
        <w:tc>
          <w:tcPr>
            <w:tcW w:type="dxa" w:w="425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VPN Tunnel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</w:tbl>
    <w:p/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3. AI &amp; Memory Stack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Komponente</w:t>
            </w:r>
          </w:p>
        </w:tc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Version/Details</w:t>
            </w:r>
          </w:p>
        </w:tc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Port</w:t>
            </w:r>
          </w:p>
        </w:tc>
        <w:tc>
          <w:tcPr>
            <w:tcW w:type="dxa" w:w="368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Funktion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API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v0.5.5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8200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Unified AI Memory API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Neo4j + APOC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5.26.23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7474 / 7687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Graph Database &amp; Reasoning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PostgreSQL pgvector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pg17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5433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Vector + Structured Storage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LanceDB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embedded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–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High-Speed Vector Store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Redis Cache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7.x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6380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Query Cache (627x Speedup)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Claude Haiku 4.5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Anthropic API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–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LLM für Completions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fastembed bge-small-en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lokal, 384 dim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–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Text Embeddings (offline)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Qdrant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latest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6333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Vector Search Engine</w:t>
            </w:r>
          </w:p>
        </w:tc>
      </w:tr>
    </w:tbl>
    <w:p/>
    <w:p>
      <w:pPr>
        <w:spacing w:after="80"/>
      </w:pPr>
      <w:r>
        <w:rPr>
          <w:rFonts w:ascii="Calibri" w:hAnsi="Calibri"/>
          <w:color w:val="1A1A2E"/>
          <w:sz w:val="22"/>
        </w:rPr>
        <w:t>Der Memory Stack ist vollständig selbst gehostet — keine externen Embedding-APIs, keine Cloud-Abhängigkeiten für Vektorisierung. fastembed läuft lokal mit dem bge-small-en Modell (384 Dimensionen). Lediglich für LLM-Completions wird die Anthropic API (Claude Haiku 4.5) genutzt, was die Kosten auf ca. $0.001 pro Query minimiert.</w:t>
      </w:r>
    </w:p>
    <w:p>
      <w:r>
        <w:br w:type="page"/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4. Cognee Knowledge Graph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4.1 Dataset-Übersicht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170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Dataset</w:t>
            </w:r>
          </w:p>
        </w:tc>
        <w:tc>
          <w:tcPr>
            <w:tcW w:type="dxa" w:w="311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Inhalt</w:t>
            </w:r>
          </w:p>
        </w:tc>
        <w:tc>
          <w:tcPr>
            <w:tcW w:type="dxa" w:w="170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Nodes/Docs</w:t>
            </w:r>
          </w:p>
        </w:tc>
        <w:tc>
          <w:tcPr>
            <w:tcW w:type="dxa" w:w="283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Fokus</w:t>
            </w:r>
          </w:p>
        </w:tc>
      </w:tr>
      <w:tr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consulting</w:t>
            </w:r>
          </w:p>
        </w:tc>
        <w:tc>
          <w:tcPr>
            <w:tcW w:type="dxa" w:w="311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Projekte, Capgemini, Kunden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~6k Docs</w:t>
            </w:r>
          </w:p>
        </w:tc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Beratungskontext</w:t>
            </w:r>
          </w:p>
        </w:tc>
      </w:tr>
      <w:tr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infrastructure</w:t>
            </w:r>
          </w:p>
        </w:tc>
        <w:tc>
          <w:tcPr>
            <w:tcW w:type="dxa" w:w="311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Server, Docker, Ports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306 Elemente</w:t>
            </w:r>
          </w:p>
        </w:tc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Tech-Dokumentation</w:t>
            </w:r>
          </w:p>
        </w:tc>
      </w:tr>
      <w:tr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design</w:t>
            </w:r>
          </w:p>
        </w:tc>
        <w:tc>
          <w:tcPr>
            <w:tcW w:type="dxa" w:w="311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BAISE LuxTech, Farben, Typo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318 Elemente</w:t>
            </w:r>
          </w:p>
        </w:tc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Brand &amp; UI</w:t>
            </w:r>
          </w:p>
        </w:tc>
      </w:tr>
      <w:tr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identity</w:t>
            </w:r>
          </w:p>
        </w:tc>
        <w:tc>
          <w:tcPr>
            <w:tcW w:type="dxa" w:w="311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Chris Regeln, Pedro Profil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2.051 Elemente</w:t>
            </w:r>
          </w:p>
        </w:tc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Agent Identity</w:t>
            </w:r>
          </w:p>
        </w:tc>
      </w:tr>
      <w:tr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finance</w:t>
            </w:r>
          </w:p>
        </w:tc>
        <w:tc>
          <w:tcPr>
            <w:tcW w:type="dxa" w:w="311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ERPNext, Rechnungen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5.044 Elemente</w:t>
            </w:r>
          </w:p>
        </w:tc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Finance Intelligence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4.2 Graph-Statistiken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3969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Metrik</w:t>
            </w:r>
          </w:p>
        </w:tc>
        <w:tc>
          <w:tcPr>
            <w:tcW w:type="dxa" w:w="5386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Wert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Gesamt-Nodes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858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Gesamt-Edges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2.546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Entity Nodes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594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EntityType Nodes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115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Organisation Nodes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Technology Nodes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Wichtigste Relation (contains)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1.008 Kanten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Wichtigste Relation (is_a)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712 Kanten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Query Latenz (Cache MISS)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6.12s avg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Query Latenz (Cache HIT)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12ms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Kosten pro Query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~$0.001 (Haiku)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4.3 Retrieval Pipeline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1. QUERY: </w:t>
      </w:r>
      <w:r>
        <w:rPr>
          <w:rFonts w:ascii="Calibri" w:hAnsi="Calibri"/>
          <w:color w:val="1A1A2E"/>
        </w:rPr>
        <w:t>User sendet natürlichsprachige Anfrage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2. EMBED: </w:t>
      </w:r>
      <w:r>
        <w:rPr>
          <w:rFonts w:ascii="Calibri" w:hAnsi="Calibri"/>
          <w:color w:val="1A1A2E"/>
        </w:rPr>
        <w:t>fastembed bge-small-en (384 dim, lokal, kein API-Call)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3A. VECTOR SEARCH: </w:t>
      </w:r>
      <w:r>
        <w:rPr>
          <w:rFonts w:ascii="Calibri" w:hAnsi="Calibri"/>
          <w:color w:val="1A1A2E"/>
        </w:rPr>
        <w:t>LanceDB Top-K Similarity, Cosine Distance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3B. GRAPH TRAVERSAL: </w:t>
      </w:r>
      <w:r>
        <w:rPr>
          <w:rFonts w:ascii="Calibri" w:hAnsi="Calibri"/>
          <w:color w:val="1A1A2E"/>
        </w:rPr>
        <w:t>Neo4j + APOC, Multi-Hop Reasoning, Entity Relationships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4. CONTEXT MERGE: </w:t>
      </w:r>
      <w:r>
        <w:rPr>
          <w:rFonts w:ascii="Calibri" w:hAnsi="Calibri"/>
          <w:color w:val="1A1A2E"/>
        </w:rPr>
        <w:t>Vector Chunks + Graph Relationships zusammengeführt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5. LLM COMPLETION: </w:t>
      </w:r>
      <w:r>
        <w:rPr>
          <w:rFonts w:ascii="Calibri" w:hAnsi="Calibri"/>
          <w:color w:val="1A1A2E"/>
        </w:rPr>
        <w:t>Claude Haiku 4.5 (anthropic_tools mode, max_tokens 4096)</w:t>
      </w:r>
    </w:p>
    <w:p>
      <w:pPr>
        <w:spacing w:after="60"/>
      </w:pPr>
      <w:r>
        <w:rPr>
          <w:rFonts w:ascii="Calibri" w:hAnsi="Calibri"/>
          <w:b/>
          <w:color w:val="C5A55A"/>
        </w:rPr>
        <w:t xml:space="preserve">6. RESPONSE: </w:t>
      </w:r>
      <w:r>
        <w:rPr>
          <w:rFonts w:ascii="Calibri" w:hAnsi="Calibri"/>
          <w:color w:val="1A1A2E"/>
        </w:rPr>
        <w:t>Strukturierte Antwort mit Source Attribution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424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X-cognee-retrieval-pipeline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42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Calibri" w:hAnsi="Calibri"/>
          <w:i/>
          <w:color w:val="808080"/>
          <w:sz w:val="18"/>
        </w:rPr>
        <w:t>Abb. 2: Cognee Knowledge Retrieval Pipeline — Dataset Strategy &amp; Performance</w:t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424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X-graph-stats-v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42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Calibri" w:hAnsi="Calibri"/>
          <w:i/>
          <w:color w:val="808080"/>
          <w:sz w:val="18"/>
        </w:rPr>
        <w:t>Abb. 3: Cognee Knowledge Graph — 858 Nodes · 2.546 Edges · 5 Datasets</w:t>
      </w:r>
    </w:p>
    <w:p>
      <w:r>
        <w:br w:type="page"/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5. Business Applications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Applikation</w:t>
            </w:r>
          </w:p>
        </w:tc>
        <w:tc>
          <w:tcPr>
            <w:tcW w:type="dxa" w:w="113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Port</w:t>
            </w:r>
          </w:p>
        </w:tc>
        <w:tc>
          <w:tcPr>
            <w:tcW w:type="dxa" w:w="255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Zugangsdaten</w:t>
            </w:r>
          </w:p>
        </w:tc>
        <w:tc>
          <w:tcPr>
            <w:tcW w:type="dxa" w:w="368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Funktion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 v15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8090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Administrator / Pedro2026!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ERP, Buchhaltung, CRM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n8n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5678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admin / NemoN8N2026Pedro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Workflow Automation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Nextcloud 28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8082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admin / [konfiguriert]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File Storage, Kollaboration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Supabase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8000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API Key konfiguriert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PostgreSQL + REST API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Paperclip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3100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pedro / [konfiguriert]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Agent Management (5 Agents)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Vaultwarden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8484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pedro / [konfiguriert]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Password Manager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Portainer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9000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admin / [konfiguriert]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Docker Management UI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Uptime Kuma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3001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admin / [konfiguriert]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Service Monitoring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5.1 ERPNext Integration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ERPNext v15 ist vollständig integriert und dient als zentrales ERP-System für Pedro Solas Beratungsunternehmung.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API Key: cc20a9143169bd0 (für programmatischen Zugriff)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REST API verfügbar unter /api/method/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Buchhaltung: Deutsche Kontenrahmen konfiguriert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Stammdaten: Kunden, Lieferanten, Artikel (Setup ausstehend)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5.2 Paperclip Agent Management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Paperclip fungiert als zentrale Verwaltungsoberfläche für alle Agents und Projekte.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3969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Metrik</w:t>
            </w:r>
          </w:p>
        </w:tc>
        <w:tc>
          <w:tcPr>
            <w:tcW w:type="dxa" w:w="5386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Wert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Aktive Agents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Projekte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4</w:t>
            </w:r>
          </w:p>
        </w:tc>
      </w:tr>
      <w:tr>
        <w:tc>
          <w:tcPr>
            <w:tcW w:type="dxa" w:w="39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Offene Issues</w:t>
            </w:r>
          </w:p>
        </w:tc>
        <w:tc>
          <w:tcPr>
            <w:tcW w:type="dxa" w:w="5386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</w:tr>
      <w:tr>
        <w:tc>
          <w:tcPr>
            <w:tcW w:type="dxa" w:w="39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Invoicing DB</w:t>
            </w:r>
          </w:p>
        </w:tc>
        <w:tc>
          <w:tcPr>
            <w:tcW w:type="dxa" w:w="5386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PostgreSQL (Port 5432)</w:t>
            </w:r>
          </w:p>
        </w:tc>
      </w:tr>
    </w:tbl>
    <w:p/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6. APEX Dashboard &amp; Brand Design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6.1 BAISE LuxTech v4 Design System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Farbe</w:t>
            </w:r>
          </w:p>
        </w:tc>
        <w:tc>
          <w:tcPr>
            <w:tcW w:type="dxa" w:w="170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Hex-Code</w:t>
            </w:r>
          </w:p>
        </w:tc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RGB</w:t>
            </w:r>
          </w:p>
        </w:tc>
        <w:tc>
          <w:tcPr>
            <w:tcW w:type="dxa" w:w="368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Verwendung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Navy (Primär)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#0A1628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RGB(10, 22, 40)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Hintergrund, Akzente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Gold (Highlight)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#C5A55A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RGB(197, 165, 90)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Überschriften, CTAs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Bronze (Sekundär)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#B8956A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RGB(184, 149, 106)</w:t>
            </w:r>
          </w:p>
        </w:tc>
        <w:tc>
          <w:tcPr>
            <w:tcW w:type="dxa" w:w="368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Subheadings, Borders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Cream (Text)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#F5ECD7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RGB(245, 236, 215)</w:t>
            </w:r>
          </w:p>
        </w:tc>
        <w:tc>
          <w:tcPr>
            <w:tcW w:type="dxa" w:w="368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Fließtext auf dunkel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6.2 Typography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Interface Font: Inter (Variable, Google Fonts CDN)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Code/Data Font: JetBrains Mono (Technische Daten, Metriken)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Fallback: system-ui, -apple-system, sans-serif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6.3 APEX Finance Dashboard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Das APEX Dashboard ist spezialisiert auf Finance Intelligence und bietet: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KPI Cards: Portfolio-Wert, YTD Return, Volatilität, Sharpe Ratio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SVG Charts: Holdings Allokation, Performance Timeline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Holdings Table: Asset, Wert, Gewichtung, Performance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Real-Time Data: Anbindung an ERPNext + Supabase API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6.4 Email Template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Outlook-kompatibles Email-Template mit BAISE LuxTech Brand Design: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Table-based Layout (kein CSS Flexbox/Grid für maximale Kompatibilität)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Navy Header mit Gold-Akzenten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Einsatz: Client-Kommunikation, Reports, Angebots-Versand</w:t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7. Invoicing System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7.1 Datenbankschema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Das Invoicing-System nutzt die Paperclip PostgreSQL-Instanz (Port 5432) mit zwei Haupttabellen: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invoices: Kopfdaten (Nr., Kunde, Datum, Status, Gesamtbetrag)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invoice_items: Positionen (Beschreibung, Menge, Einzelpreis, Gesamt)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7.2 Dokumente (Testdaten)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1814"/>
        <w:gridCol w:w="1814"/>
        <w:gridCol w:w="1814"/>
        <w:gridCol w:w="1814"/>
        <w:gridCol w:w="1814"/>
      </w:tblGrid>
      <w:tr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Dokument-Nr.</w:t>
            </w:r>
          </w:p>
        </w:tc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Typ</w:t>
            </w:r>
          </w:p>
        </w:tc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Kunde</w:t>
            </w:r>
          </w:p>
        </w:tc>
        <w:tc>
          <w:tcPr>
            <w:tcW w:type="dxa" w:w="170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Betrag</w:t>
            </w:r>
          </w:p>
        </w:tc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Status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ANG-2026-0001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Angebot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Mustermann GmbH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51.408 €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Erstellt</w:t>
            </w:r>
          </w:p>
        </w:tc>
      </w:tr>
      <w:tr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ANG-2026-0002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Angebot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TechVentures AG</w:t>
            </w:r>
          </w:p>
        </w:tc>
        <w:tc>
          <w:tcPr>
            <w:tcW w:type="dxa" w:w="170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79.968 €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Erstellt</w:t>
            </w:r>
          </w:p>
        </w:tc>
      </w:tr>
      <w:tr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RE-2026-0001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Rechnung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Mustermann GmbH</w:t>
            </w:r>
          </w:p>
        </w:tc>
        <w:tc>
          <w:tcPr>
            <w:tcW w:type="dxa" w:w="170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51.408 €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Ausgestellt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7.3 HTML Templates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Heller Hintergrund mit Gold-Akzenten (BAISE LuxTech)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Druckoptimiert A4 (print CSS, Seitenumbrüche)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Responsive Design für Browser-Preview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PDF-Export via HTML-to-PDF (geplant: wkhtmltopdf)</w:t>
      </w:r>
    </w:p>
    <w:p>
      <w:r>
        <w:br w:type="page"/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8. Security Audit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8.1 Aktuelle Maßnahmen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c>
          <w:tcPr>
            <w:tcW w:type="dxa" w:w="255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Maßnahme</w:t>
            </w:r>
          </w:p>
        </w:tc>
        <w:tc>
          <w:tcPr>
            <w:tcW w:type="dxa" w:w="453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Details</w:t>
            </w:r>
          </w:p>
        </w:tc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Status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Port Blocking</w:t>
            </w:r>
          </w:p>
        </w:tc>
        <w:tc>
          <w:tcPr>
            <w:tcW w:type="dxa" w:w="45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 Ports via iptables raw PREROUTING geschlossen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Nginx Basic Auth</w:t>
            </w:r>
          </w:p>
        </w:tc>
        <w:tc>
          <w:tcPr>
            <w:tcW w:type="dxa" w:w="45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12 Reverse Proxies konfiguriert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htpasswd</w:t>
            </w:r>
          </w:p>
        </w:tc>
        <w:tc>
          <w:tcPr>
            <w:tcW w:type="dxa" w:w="45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pedro/Pedro2026! für sensible Services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Docker Network Isolation</w:t>
            </w:r>
          </w:p>
        </w:tc>
        <w:tc>
          <w:tcPr>
            <w:tcW w:type="dxa" w:w="45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Interne Networks für DB-Kommunikation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SSH Key Auth</w:t>
            </w:r>
          </w:p>
        </w:tc>
        <w:tc>
          <w:tcPr>
            <w:tcW w:type="dxa" w:w="45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chris_vps Key für Root-Zugriff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  <w:tr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Vaultwarden</w:t>
            </w:r>
          </w:p>
        </w:tc>
        <w:tc>
          <w:tcPr>
            <w:tcW w:type="dxa" w:w="45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Zentrale Passwortverwaltung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✓ Aktiv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8.2 Ausstehende Sicherheitsmaßnahmen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Priorität</w:t>
            </w:r>
          </w:p>
        </w:tc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Maßnahme</w:t>
            </w:r>
          </w:p>
        </w:tc>
        <w:tc>
          <w:tcPr>
            <w:tcW w:type="dxa" w:w="5669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Beschreibung</w:t>
            </w:r>
          </w:p>
        </w:tc>
      </w:tr>
      <w:tr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HOCH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DNS A-Records</w:t>
            </w:r>
          </w:p>
        </w:tc>
        <w:tc>
          <w:tcPr>
            <w:tcW w:type="dxa" w:w="56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11 Subdomains in Hostinger DNS eintragen</w:t>
            </w:r>
          </w:p>
        </w:tc>
      </w:tr>
      <w:tr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HOCH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Let's Encrypt SSL</w:t>
            </w:r>
          </w:p>
        </w:tc>
        <w:tc>
          <w:tcPr>
            <w:tcW w:type="dxa" w:w="56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Wildcard SSL Zertifikat via Certbot</w:t>
            </w:r>
          </w:p>
        </w:tc>
      </w:tr>
      <w:tr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MITTEL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Passwörter rotieren</w:t>
            </w:r>
          </w:p>
        </w:tc>
        <w:tc>
          <w:tcPr>
            <w:tcW w:type="dxa" w:w="56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pedro/Pedro2026! durch sichere Passphrasen ersetzen</w:t>
            </w:r>
          </w:p>
        </w:tc>
      </w:tr>
      <w:tr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MITTEL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2FA aktivieren</w:t>
            </w:r>
          </w:p>
        </w:tc>
        <w:tc>
          <w:tcPr>
            <w:tcW w:type="dxa" w:w="56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ERPNext, Vaultwarden, n8n</w:t>
            </w:r>
          </w:p>
        </w:tc>
      </w:tr>
      <w:tr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NIEDRIG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Security Headers</w:t>
            </w:r>
          </w:p>
        </w:tc>
        <w:tc>
          <w:tcPr>
            <w:tcW w:type="dxa" w:w="5669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HSTS, CSP, X-Frame-Options in Nginx</w:t>
            </w:r>
          </w:p>
        </w:tc>
      </w:tr>
      <w:tr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NIEDRIG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Fail2ban</w:t>
            </w:r>
          </w:p>
        </w:tc>
        <w:tc>
          <w:tcPr>
            <w:tcW w:type="dxa" w:w="5669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Brute-Force-Schutz für SSH und Web-Services</w:t>
            </w:r>
          </w:p>
        </w:tc>
      </w:tr>
    </w:tbl>
    <w:p/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9. Agent Architecture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9.1 Chris — Director Agent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283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Parameter</w:t>
            </w:r>
          </w:p>
        </w:tc>
        <w:tc>
          <w:tcPr>
            <w:tcW w:type="dxa" w:w="6520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Konfiguration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Name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Chris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Rolle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Director / Orchestrator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Modell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Claude Opus 4.6 (Anthropic)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Reasoning Mode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Thinking Adaptive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Plattform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OpenClaw Gateway (Port 44587)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Channel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Telegram (Pedro: 8425387406, Paul: 1621431096)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Installierte Skills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122</w:t>
            </w:r>
          </w:p>
        </w:tc>
      </w:tr>
      <w:tr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Orchestrierungsregeln</w:t>
            </w:r>
          </w:p>
        </w:tc>
        <w:tc>
          <w:tcPr>
            <w:tcW w:type="dxa" w:w="6520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 Regeln (ORCHESTRATION.md)</w:t>
            </w:r>
          </w:p>
        </w:tc>
      </w:tr>
      <w:tr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Footer</w:t>
            </w:r>
          </w:p>
        </w:tc>
        <w:tc>
          <w:tcPr>
            <w:tcW w:type="dxa" w:w="6520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😏[Confidence 0-10] 👾[Subagents] ⌛️[CronJob Timer]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9.2 Subagent-Hierarchie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Subagent-Typ</w:t>
            </w:r>
          </w:p>
        </w:tc>
        <w:tc>
          <w:tcPr>
            <w:tcW w:type="dxa" w:w="198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Modell</w:t>
            </w:r>
          </w:p>
        </w:tc>
        <w:tc>
          <w:tcPr>
            <w:tcW w:type="dxa" w:w="2835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Spezialisierung</w:t>
            </w:r>
          </w:p>
        </w:tc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Trigger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Deep Research Agent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Claude Opus 4.6</w:t>
            </w:r>
          </w:p>
        </w:tc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Research, Strategie, Marktanalyse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Automatisch bei komplexen Recherche-Tasks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Code Agent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Claude Sonnet 4.6</w:t>
            </w:r>
          </w:p>
        </w:tc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Code, DevOps, API-Integration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Automatisch bei Entwicklungsaufgaben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Admin Agent</w:t>
            </w:r>
          </w:p>
        </w:tc>
        <w:tc>
          <w:tcPr>
            <w:tcW w:type="dxa" w:w="198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Claude Sonnet 4.6</w:t>
            </w:r>
          </w:p>
        </w:tc>
        <w:tc>
          <w:tcPr>
            <w:tcW w:type="dxa" w:w="2835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Verwaltung, Dokumentation</w:t>
            </w:r>
          </w:p>
        </w:tc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Automatisch bei Admin-Tasks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Analysis Agent</w:t>
            </w:r>
          </w:p>
        </w:tc>
        <w:tc>
          <w:tcPr>
            <w:tcW w:type="dxa" w:w="198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Claude Opus 4.6</w:t>
            </w:r>
          </w:p>
        </w:tc>
        <w:tc>
          <w:tcPr>
            <w:tcW w:type="dxa" w:w="2835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Datenanalyse, Finance</w:t>
            </w:r>
          </w:p>
        </w:tc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On-Demand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9.3 Skill Arsenal (122 Skills)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c>
          <w:tcPr>
            <w:tcW w:type="dxa" w:w="2268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Kategorie</w:t>
            </w:r>
          </w:p>
        </w:tc>
        <w:tc>
          <w:tcPr>
            <w:tcW w:type="dxa" w:w="113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Anzahl</w:t>
            </w:r>
          </w:p>
        </w:tc>
        <w:tc>
          <w:tcPr>
            <w:tcW w:type="dxa" w:w="5953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Beispiel-Skills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AI &amp; Agents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18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codex-orchestrator, mindgardener, agent-swarm-workflow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Development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16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api-dev, architecture-designer, database-operations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Design &amp; UI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12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high-end-visual-design, mobile-app-design-pro, minimalist-ui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Search &amp; Research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9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exa-web-search-free, patents-search, multi-search-engine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Security &amp; Ops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9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security-auditor, devops, monitoring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Tools &amp; Integrations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16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google-workspace-byok, api-gateway, git-workflows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Social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7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moltbook-cli, twitter-automation, clawnewz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Health &amp; Personal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7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psy, job-search-strategist, mindfulness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Voice AI (VAPI)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create-call, setup-api-key, superpowers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Creative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4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infographic-gen, linkedin-content, brainstorming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Music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pedromusic (Salsa Dura, Timba, Cumbia Fusion)</w:t>
            </w:r>
          </w:p>
        </w:tc>
      </w:tr>
      <w:tr>
        <w:tc>
          <w:tcPr>
            <w:tcW w:type="dxa" w:w="2268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Misc</w:t>
            </w:r>
          </w:p>
        </w:tc>
        <w:tc>
          <w:tcPr>
            <w:tcW w:type="dxa" w:w="113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  <w:tc>
          <w:tcPr>
            <w:tcW w:type="dxa" w:w="5953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model-switch, sk, openclaw-update</w:t>
            </w:r>
          </w:p>
        </w:tc>
      </w:tr>
      <w:tr>
        <w:tc>
          <w:tcPr>
            <w:tcW w:type="dxa" w:w="2268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Robotics &amp; Science</w:t>
            </w:r>
          </w:p>
        </w:tc>
        <w:tc>
          <w:tcPr>
            <w:tcW w:type="dxa" w:w="113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7</w:t>
            </w:r>
          </w:p>
        </w:tc>
        <w:tc>
          <w:tcPr>
            <w:tcW w:type="dxa" w:w="5953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openclaw-robotics, se3, pangolin-utils</w:t>
            </w:r>
          </w:p>
        </w:tc>
      </w:tr>
    </w:tbl>
    <w:p/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69280" cy="31642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X-skill-arsenal-landscape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642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40"/>
        <w:jc w:val="center"/>
      </w:pPr>
      <w:r>
        <w:rPr>
          <w:rFonts w:ascii="Calibri" w:hAnsi="Calibri"/>
          <w:i/>
          <w:color w:val="808080"/>
          <w:sz w:val="18"/>
        </w:rPr>
        <w:t>Abb. 4: Chris Skill Arsenal — 122 Skills · 13 Kategorien · Pedro Sola Agent Director 2026</w:t>
      </w:r>
    </w:p>
    <w:p>
      <w:r>
        <w:br w:type="page"/>
      </w:r>
    </w:p>
    <w:p>
      <w:pPr>
        <w:spacing w:before="320" w:after="120"/>
        <w:jc w:val="left"/>
      </w:pPr>
      <w:r>
        <w:rPr>
          <w:rFonts w:ascii="Calibri" w:hAnsi="Calibri"/>
          <w:b/>
          <w:color w:val="C5A55A"/>
          <w:sz w:val="40"/>
        </w:rPr>
        <w:t>10. Nächste Schritte &amp; Roadmap</w:t>
      </w:r>
    </w:p>
    <w:p>
      <w:pPr>
        <w:spacing w:after="80"/>
      </w:pPr>
      <w:r>
        <w:rPr>
          <w:rFonts w:ascii="Calibri" w:hAnsi="Calibri"/>
          <w:color w:val="1A1A2E"/>
          <w:sz w:val="22"/>
        </w:rPr>
        <w:t>Folgende Aufgaben sind für die Produktivschaltung der Plattform ausstehend: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c>
          <w:tcPr>
            <w:tcW w:type="dxa" w:w="454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#</w:t>
            </w:r>
          </w:p>
        </w:tc>
        <w:tc>
          <w:tcPr>
            <w:tcW w:type="dxa" w:w="2551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Aufgabe</w:t>
            </w:r>
          </w:p>
        </w:tc>
        <w:tc>
          <w:tcPr>
            <w:tcW w:type="dxa" w:w="1417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Priorität</w:t>
            </w:r>
          </w:p>
        </w:tc>
        <w:tc>
          <w:tcPr>
            <w:tcW w:type="dxa" w:w="4932"/>
            <w:shd w:val="clear" w:color="auto" w:fill="C5A55A"/>
          </w:tcPr>
          <w:p>
            <w:pPr>
              <w:jc w:val="center"/>
            </w:pPr>
            <w:r>
              <w:rPr>
                <w:rFonts w:ascii="Calibri" w:hAnsi="Calibri"/>
                <w:b/>
                <w:color w:val="FFFFFF"/>
                <w:sz w:val="20"/>
              </w:rPr>
              <w:t>Beschreibung</w:t>
            </w:r>
          </w:p>
        </w:tc>
      </w:tr>
      <w:tr>
        <w:tc>
          <w:tcPr>
            <w:tcW w:type="dxa" w:w="45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DNS A-Records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KRITISCH</w:t>
            </w:r>
          </w:p>
        </w:tc>
        <w:tc>
          <w:tcPr>
            <w:tcW w:type="dxa" w:w="493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11 Subdomains in Hostinger DNS → 72.61.176.72</w:t>
            </w:r>
          </w:p>
        </w:tc>
      </w:tr>
      <w:tr>
        <w:tc>
          <w:tcPr>
            <w:tcW w:type="dxa" w:w="45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2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Let's Encrypt Wildcard SSL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KRITISCH</w:t>
            </w:r>
          </w:p>
        </w:tc>
        <w:tc>
          <w:tcPr>
            <w:tcW w:type="dxa" w:w="493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Certbot + wildcard *.pedrosola.ai (oder Wunschdomain)</w:t>
            </w:r>
          </w:p>
        </w:tc>
      </w:tr>
      <w:tr>
        <w:tc>
          <w:tcPr>
            <w:tcW w:type="dxa" w:w="45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3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n8n API Key + Workflows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HOCH</w:t>
            </w:r>
          </w:p>
        </w:tc>
        <w:tc>
          <w:tcPr>
            <w:tcW w:type="dxa" w:w="493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API Key generieren, erste Automations-Workflows bauen</w:t>
            </w:r>
          </w:p>
        </w:tc>
      </w:tr>
      <w:tr>
        <w:tc>
          <w:tcPr>
            <w:tcW w:type="dxa" w:w="45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4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Cognee Query Router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HOCH</w:t>
            </w:r>
          </w:p>
        </w:tc>
        <w:tc>
          <w:tcPr>
            <w:tcW w:type="dxa" w:w="493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n8n + LLM Classifier für intelligentes Dataset-Routing</w:t>
            </w:r>
          </w:p>
        </w:tc>
      </w:tr>
      <w:tr>
        <w:tc>
          <w:tcPr>
            <w:tcW w:type="dxa" w:w="45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5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 Stammdaten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HOCH</w:t>
            </w:r>
          </w:p>
        </w:tc>
        <w:tc>
          <w:tcPr>
            <w:tcW w:type="dxa" w:w="493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Kunden, Artikel, Kontenrahmen konfigurieren</w:t>
            </w:r>
          </w:p>
        </w:tc>
      </w:tr>
      <w:tr>
        <w:tc>
          <w:tcPr>
            <w:tcW w:type="dxa" w:w="45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6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Passwörter rotieren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MITTEL</w:t>
            </w:r>
          </w:p>
        </w:tc>
        <w:tc>
          <w:tcPr>
            <w:tcW w:type="dxa" w:w="493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Alle Default-Passwörter durch sichere Passphrases ersetzen</w:t>
            </w:r>
          </w:p>
        </w:tc>
      </w:tr>
      <w:tr>
        <w:tc>
          <w:tcPr>
            <w:tcW w:type="dxa" w:w="45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7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2FA aktivieren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MITTEL</w:t>
            </w:r>
          </w:p>
        </w:tc>
        <w:tc>
          <w:tcPr>
            <w:tcW w:type="dxa" w:w="493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ERPNext, Vaultwarden, n8n absichern</w:t>
            </w:r>
          </w:p>
        </w:tc>
      </w:tr>
      <w:tr>
        <w:tc>
          <w:tcPr>
            <w:tcW w:type="dxa" w:w="45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8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Backup-Strategie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MITTEL</w:t>
            </w:r>
          </w:p>
        </w:tc>
        <w:tc>
          <w:tcPr>
            <w:tcW w:type="dxa" w:w="493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Automatische Backups für DBs und kritische Volumes</w:t>
            </w:r>
          </w:p>
        </w:tc>
      </w:tr>
      <w:tr>
        <w:tc>
          <w:tcPr>
            <w:tcW w:type="dxa" w:w="454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9</w:t>
            </w:r>
          </w:p>
        </w:tc>
        <w:tc>
          <w:tcPr>
            <w:tcW w:type="dxa" w:w="2551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n8n Cognee Integration</w:t>
            </w:r>
          </w:p>
        </w:tc>
        <w:tc>
          <w:tcPr>
            <w:tcW w:type="dxa" w:w="1417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NIEDRIG</w:t>
            </w:r>
          </w:p>
        </w:tc>
        <w:tc>
          <w:tcPr>
            <w:tcW w:type="dxa" w:w="4932"/>
            <w:shd w:val="clear" w:color="auto" w:fill="FFFFFF"/>
          </w:tcPr>
          <w:p>
            <w:r>
              <w:rPr>
                <w:rFonts w:ascii="Calibri" w:hAnsi="Calibri"/>
                <w:color w:val="1A1A2E"/>
                <w:sz w:val="20"/>
              </w:rPr>
              <w:t>Cognee als n8n Workflow-Node einbinden</w:t>
            </w:r>
          </w:p>
        </w:tc>
      </w:tr>
      <w:tr>
        <w:tc>
          <w:tcPr>
            <w:tcW w:type="dxa" w:w="454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10</w:t>
            </w:r>
          </w:p>
        </w:tc>
        <w:tc>
          <w:tcPr>
            <w:tcW w:type="dxa" w:w="2551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APEX Dashboard Live-Daten</w:t>
            </w:r>
          </w:p>
        </w:tc>
        <w:tc>
          <w:tcPr>
            <w:tcW w:type="dxa" w:w="1417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NIEDRIG</w:t>
            </w:r>
          </w:p>
        </w:tc>
        <w:tc>
          <w:tcPr>
            <w:tcW w:type="dxa" w:w="4932"/>
            <w:shd w:val="clear" w:color="auto" w:fill="F5F0E8"/>
          </w:tcPr>
          <w:p>
            <w:r>
              <w:rPr>
                <w:rFonts w:ascii="Calibri" w:hAnsi="Calibri"/>
                <w:color w:val="1A1A2E"/>
                <w:sz w:val="20"/>
              </w:rPr>
              <w:t>ERPNext API → Dashboard Echtzeit-KPIs</w:t>
            </w:r>
          </w:p>
        </w:tc>
      </w:tr>
    </w:tbl>
    <w:p/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10.1 Technische Schulden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Qdrant: Deployment läuft, aber noch nicht in Cognee-Pipeline integriert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NordVPN: Konfiguriert aber VPN-Routing noch nicht für alle Services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Paperclip Invoicing: HTML-to-PDF Export noch nicht automatisiert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ERPNext: API-Key-basierter Zugriff noch nicht getestet</w:t>
      </w:r>
    </w:p>
    <w:p>
      <w:pPr>
        <w:spacing w:before="200" w:after="120"/>
        <w:jc w:val="left"/>
      </w:pPr>
      <w:r>
        <w:rPr>
          <w:rFonts w:ascii="Calibri" w:hAnsi="Calibri"/>
          <w:b/>
          <w:color w:val="0A1628"/>
          <w:sz w:val="28"/>
        </w:rPr>
        <w:t>10.2 Erweiterungsmöglichkeiten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Multi-Tenant: Plattform für weitere Clients Pedro's bereitstellen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Finance Intelligence: ERPNext Daten → Cognee → Chat-Interface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Client Reporting: Automatische Monatsreports via n8n + APEX</w:t>
      </w:r>
    </w:p>
    <w:p>
      <w:pPr>
        <w:pStyle w:val="ListBullet"/>
      </w:pPr>
      <w:r>
        <w:rPr>
          <w:rFonts w:ascii="Calibri" w:hAnsi="Calibri"/>
          <w:color w:val="1A1A2E"/>
          <w:sz w:val="22"/>
        </w:rPr>
        <w:t>Voice Interface: VAPI Integration für Sprachsteuerung von Chris</w:t>
      </w:r>
    </w:p>
    <w:p/>
    <w:p>
      <w:r>
        <w:br w:type="page"/>
      </w:r>
    </w:p>
    <w:p>
      <w:pPr>
        <w:spacing w:before="800" w:after="160"/>
        <w:jc w:val="center"/>
      </w:pPr>
      <w:r>
        <w:rPr>
          <w:rFonts w:ascii="Calibri" w:hAnsi="Calibri"/>
          <w:b/>
          <w:color w:val="C5A55A"/>
          <w:sz w:val="32"/>
        </w:rPr>
        <w:t>PEDRO SOLA · AGENTIC AI PLATFORM</w:t>
      </w:r>
    </w:p>
    <w:p>
      <w:pPr>
        <w:spacing w:after="120"/>
        <w:jc w:val="center"/>
      </w:pPr>
      <w:r>
        <w:rPr>
          <w:rFonts w:ascii="Calibri" w:hAnsi="Calibri"/>
          <w:color w:val="0A1628"/>
          <w:sz w:val="24"/>
        </w:rPr>
        <w:t>System Documentation · März 2026</w:t>
      </w:r>
    </w:p>
    <w:p>
      <w:pPr>
        <w:spacing w:after="80"/>
        <w:jc w:val="center"/>
      </w:pPr>
      <w:r>
        <w:rPr>
          <w:rFonts w:ascii="Calibri" w:hAnsi="Calibri"/>
          <w:i/>
          <w:color w:val="808080"/>
          <w:sz w:val="20"/>
        </w:rPr>
        <w:t>Erstellt von Chris (Director Agent) · Powered by BAISE LuxTech v4</w:t>
      </w:r>
    </w:p>
    <w:p>
      <w:pPr>
        <w:jc w:val="center"/>
      </w:pPr>
      <w:r>
        <w:rPr>
          <w:rFonts w:ascii="Calibri" w:hAnsi="Calibri"/>
          <w:i/>
          <w:color w:val="A0A0A0"/>
          <w:sz w:val="18"/>
        </w:rPr>
        <w:t>Claude Opus 4.6 · Hostinger KVM4 · 72.61.176.72 · Ubuntu 24.04 · Docker 29.3.0</w:t>
      </w:r>
    </w:p>
    <w:sectPr w:rsidR="00FC693F" w:rsidRPr="0006063C" w:rsidSect="00034616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